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E5D2" w14:textId="77777777" w:rsidR="0043242F" w:rsidRPr="00886E52" w:rsidRDefault="0043242F" w:rsidP="00BD6382">
      <w:pPr>
        <w:rPr>
          <w:rFonts w:ascii="Times New Roman" w:hAnsi="Times New Roman"/>
          <w:b/>
          <w:sz w:val="24"/>
          <w:szCs w:val="24"/>
        </w:rPr>
      </w:pPr>
      <w:r w:rsidRPr="00886E52">
        <w:rPr>
          <w:rFonts w:ascii="Times New Roman" w:hAnsi="Times New Roman"/>
          <w:b/>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95BA287" w14:textId="77777777" w:rsidR="009F5328" w:rsidRPr="00886E52" w:rsidRDefault="009F5328" w:rsidP="00C2763D">
      <w:pPr>
        <w:rPr>
          <w:rFonts w:ascii="Times New Roman" w:hAnsi="Times New Roman"/>
          <w:b/>
          <w:sz w:val="24"/>
          <w:szCs w:val="24"/>
        </w:rPr>
      </w:pPr>
    </w:p>
    <w:p w14:paraId="1A47C888" w14:textId="482714CF" w:rsidR="0043242F" w:rsidRPr="00886E52" w:rsidRDefault="0043242F" w:rsidP="00C2763D">
      <w:pPr>
        <w:jc w:val="right"/>
        <w:rPr>
          <w:rFonts w:ascii="Times New Roman" w:hAnsi="Times New Roman"/>
          <w:sz w:val="24"/>
          <w:szCs w:val="24"/>
        </w:rPr>
      </w:pPr>
      <w:r w:rsidRPr="00886E52">
        <w:rPr>
          <w:rFonts w:ascii="Times New Roman" w:hAnsi="Times New Roman"/>
          <w:b/>
          <w:sz w:val="24"/>
          <w:szCs w:val="24"/>
        </w:rPr>
        <w:t xml:space="preserve">M </w:t>
      </w:r>
      <w:r w:rsidR="008905B6" w:rsidRPr="00886E52">
        <w:rPr>
          <w:rFonts w:ascii="Times New Roman" w:hAnsi="Times New Roman"/>
          <w:b/>
          <w:sz w:val="24"/>
          <w:szCs w:val="24"/>
        </w:rPr>
        <w:t>3</w:t>
      </w:r>
      <w:r w:rsidR="00886E52" w:rsidRPr="00886E52">
        <w:rPr>
          <w:rFonts w:ascii="Times New Roman" w:hAnsi="Times New Roman"/>
          <w:b/>
          <w:sz w:val="24"/>
          <w:szCs w:val="24"/>
        </w:rPr>
        <w:t>3</w:t>
      </w:r>
      <w:r w:rsidR="00AB73A3" w:rsidRPr="00886E52">
        <w:rPr>
          <w:rFonts w:ascii="Times New Roman" w:hAnsi="Times New Roman"/>
          <w:b/>
          <w:sz w:val="24"/>
          <w:szCs w:val="24"/>
        </w:rPr>
        <w:t>-23-24</w:t>
      </w:r>
    </w:p>
    <w:p w14:paraId="41AEEB8B" w14:textId="108B1F70" w:rsidR="00CF04A2" w:rsidRPr="002513DA" w:rsidRDefault="00CF04A2" w:rsidP="00CF04A2">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Pr>
          <w:rFonts w:ascii="Times New Roman" w:hAnsi="Times New Roman"/>
          <w:sz w:val="24"/>
          <w:szCs w:val="24"/>
        </w:rPr>
        <w:t>August 0</w:t>
      </w:r>
      <w:r w:rsidR="00D02970">
        <w:rPr>
          <w:rFonts w:ascii="Times New Roman" w:hAnsi="Times New Roman"/>
          <w:sz w:val="24"/>
          <w:szCs w:val="24"/>
        </w:rPr>
        <w:t>9</w:t>
      </w:r>
      <w:r w:rsidRPr="002513DA">
        <w:rPr>
          <w:rFonts w:ascii="Times New Roman" w:hAnsi="Times New Roman"/>
          <w:sz w:val="24"/>
          <w:szCs w:val="24"/>
        </w:rPr>
        <w:t>, 2024</w:t>
      </w:r>
    </w:p>
    <w:p w14:paraId="6E8F0CBC" w14:textId="77777777" w:rsidR="00CF04A2" w:rsidRPr="002513DA" w:rsidRDefault="00CF04A2" w:rsidP="00CF04A2">
      <w:pPr>
        <w:rPr>
          <w:rFonts w:ascii="Times New Roman" w:hAnsi="Times New Roman"/>
          <w:sz w:val="24"/>
          <w:szCs w:val="24"/>
        </w:rPr>
      </w:pPr>
    </w:p>
    <w:p w14:paraId="00E86EF4" w14:textId="2BDC0293" w:rsidR="00CF04A2" w:rsidRDefault="00CF04A2" w:rsidP="00CF04A2">
      <w:pPr>
        <w:rPr>
          <w:rFonts w:ascii="Times New Roman" w:hAnsi="Times New Roman"/>
          <w:sz w:val="24"/>
          <w:szCs w:val="24"/>
        </w:rPr>
      </w:pPr>
      <w:r w:rsidRPr="002513DA">
        <w:rPr>
          <w:rFonts w:ascii="Times New Roman" w:hAnsi="Times New Roman"/>
          <w:b/>
          <w:sz w:val="24"/>
          <w:szCs w:val="24"/>
        </w:rPr>
        <w:t>TERMINATION DATE FOR APPLICATIONS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Pr>
          <w:rFonts w:ascii="Times New Roman" w:hAnsi="Times New Roman"/>
          <w:sz w:val="24"/>
          <w:szCs w:val="24"/>
        </w:rPr>
        <w:t>August 2</w:t>
      </w:r>
      <w:r w:rsidR="00D02970">
        <w:rPr>
          <w:rFonts w:ascii="Times New Roman" w:hAnsi="Times New Roman"/>
          <w:sz w:val="24"/>
          <w:szCs w:val="24"/>
        </w:rPr>
        <w:t>2</w:t>
      </w:r>
      <w:r w:rsidRPr="002513DA">
        <w:rPr>
          <w:rFonts w:ascii="Times New Roman" w:hAnsi="Times New Roman"/>
          <w:sz w:val="24"/>
          <w:szCs w:val="24"/>
        </w:rPr>
        <w:t>, 2024</w:t>
      </w:r>
    </w:p>
    <w:p w14:paraId="6FF5346B" w14:textId="77777777" w:rsidR="00CF04A2" w:rsidRPr="002513DA" w:rsidRDefault="00CF04A2" w:rsidP="00CF04A2">
      <w:pPr>
        <w:rPr>
          <w:rFonts w:ascii="Times New Roman" w:hAnsi="Times New Roman"/>
          <w:sz w:val="24"/>
          <w:szCs w:val="24"/>
        </w:rPr>
      </w:pPr>
    </w:p>
    <w:p w14:paraId="2CE8EC67" w14:textId="77777777" w:rsidR="00CF04A2" w:rsidRPr="002513DA" w:rsidRDefault="00CF04A2" w:rsidP="00CF04A2">
      <w:pPr>
        <w:rPr>
          <w:rFonts w:ascii="Times New Roman" w:hAnsi="Times New Roman"/>
          <w:sz w:val="24"/>
          <w:szCs w:val="24"/>
        </w:rPr>
      </w:pPr>
    </w:p>
    <w:p w14:paraId="7EC1F046" w14:textId="50945C94" w:rsidR="00CF04A2" w:rsidRPr="002513DA" w:rsidRDefault="00CF04A2" w:rsidP="00CF04A2">
      <w:pPr>
        <w:ind w:left="5760" w:hanging="5760"/>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Pr>
          <w:rFonts w:ascii="Times New Roman" w:hAnsi="Times New Roman"/>
          <w:b/>
          <w:sz w:val="24"/>
          <w:szCs w:val="24"/>
        </w:rPr>
        <w:t>STAFF ATTORNEY- ARBITRTION SPECIALIST</w:t>
      </w:r>
    </w:p>
    <w:p w14:paraId="712BAADB" w14:textId="66B06E82" w:rsidR="00CF04A2" w:rsidRPr="002513DA" w:rsidRDefault="00CF04A2" w:rsidP="00CF04A2">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p>
    <w:p w14:paraId="33469676" w14:textId="77777777" w:rsidR="00CF04A2" w:rsidRPr="002513DA" w:rsidRDefault="00CF04A2" w:rsidP="00CF04A2">
      <w:pPr>
        <w:rPr>
          <w:rFonts w:ascii="Times New Roman" w:hAnsi="Times New Roman"/>
          <w:sz w:val="24"/>
          <w:szCs w:val="24"/>
        </w:rPr>
      </w:pPr>
    </w:p>
    <w:p w14:paraId="3606ECEF" w14:textId="14778DF3" w:rsidR="00CF04A2" w:rsidRPr="002513DA" w:rsidRDefault="00CF04A2" w:rsidP="00CF04A2">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Per MEA-PSA/USO </w:t>
      </w:r>
      <w:r w:rsidR="00533065">
        <w:rPr>
          <w:rFonts w:ascii="Times New Roman" w:hAnsi="Times New Roman"/>
          <w:sz w:val="24"/>
          <w:szCs w:val="24"/>
        </w:rPr>
        <w:t>Staff Agreement</w:t>
      </w:r>
    </w:p>
    <w:p w14:paraId="42BC4BEA" w14:textId="77777777" w:rsidR="00CF04A2" w:rsidRPr="002513DA" w:rsidRDefault="00CF04A2" w:rsidP="00CF04A2">
      <w:pPr>
        <w:rPr>
          <w:rFonts w:ascii="Times New Roman" w:hAnsi="Times New Roman"/>
          <w:sz w:val="24"/>
          <w:szCs w:val="24"/>
        </w:rPr>
      </w:pPr>
    </w:p>
    <w:p w14:paraId="4CB92799" w14:textId="2EFE1D53" w:rsidR="00CF04A2" w:rsidRPr="002513DA" w:rsidRDefault="00CF04A2" w:rsidP="00CF04A2">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Pr>
          <w:rFonts w:ascii="Times New Roman" w:hAnsi="Times New Roman"/>
          <w:sz w:val="24"/>
          <w:szCs w:val="24"/>
        </w:rPr>
        <w:t>Shannon Alston</w:t>
      </w:r>
    </w:p>
    <w:p w14:paraId="7630FF61" w14:textId="501578BD" w:rsidR="00CF04A2" w:rsidRPr="002513DA" w:rsidRDefault="00CF04A2" w:rsidP="00CF04A2">
      <w:pPr>
        <w:ind w:left="5760"/>
        <w:rPr>
          <w:rFonts w:ascii="Times New Roman" w:hAnsi="Times New Roman"/>
          <w:sz w:val="24"/>
          <w:szCs w:val="24"/>
        </w:rPr>
      </w:pPr>
      <w:r>
        <w:rPr>
          <w:rFonts w:ascii="Times New Roman" w:hAnsi="Times New Roman"/>
          <w:sz w:val="24"/>
          <w:szCs w:val="24"/>
        </w:rPr>
        <w:t>Executive Director of Corporate Services</w:t>
      </w:r>
    </w:p>
    <w:p w14:paraId="50C23488" w14:textId="77777777" w:rsidR="00CF04A2" w:rsidRPr="002513DA" w:rsidRDefault="00CF04A2" w:rsidP="00CF04A2">
      <w:pPr>
        <w:rPr>
          <w:rFonts w:ascii="Times New Roman" w:hAnsi="Times New Roman"/>
          <w:sz w:val="24"/>
          <w:szCs w:val="24"/>
        </w:rPr>
      </w:pPr>
    </w:p>
    <w:p w14:paraId="45662ED5"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As soon as possible</w:t>
      </w:r>
    </w:p>
    <w:p w14:paraId="7C1F6AA8" w14:textId="77777777" w:rsidR="00CF04A2" w:rsidRPr="002513DA" w:rsidRDefault="00CF04A2" w:rsidP="00CF04A2">
      <w:pPr>
        <w:rPr>
          <w:rFonts w:ascii="Times New Roman" w:hAnsi="Times New Roman"/>
          <w:sz w:val="24"/>
          <w:szCs w:val="24"/>
        </w:rPr>
      </w:pPr>
    </w:p>
    <w:p w14:paraId="5C4BA198"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5C833A14"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315806C1"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1907ECC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6012B5BA"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48D285F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Pr="002513DA">
          <w:rPr>
            <w:rStyle w:val="Hyperlink"/>
            <w:rFonts w:ascii="Times New Roman" w:hAnsi="Times New Roman"/>
            <w:sz w:val="24"/>
            <w:szCs w:val="24"/>
          </w:rPr>
          <w:t>Jobpostings@mea.org</w:t>
        </w:r>
      </w:hyperlink>
    </w:p>
    <w:p w14:paraId="08C58F0A" w14:textId="77777777" w:rsidR="00886E52" w:rsidRPr="00886E52" w:rsidRDefault="00886E52" w:rsidP="00886E52">
      <w:pPr>
        <w:rPr>
          <w:rFonts w:ascii="Times New Roman" w:hAnsi="Times New Roman"/>
          <w:sz w:val="24"/>
          <w:szCs w:val="24"/>
        </w:rPr>
      </w:pPr>
    </w:p>
    <w:p w14:paraId="1E0D16D3" w14:textId="77777777" w:rsidR="00886E52" w:rsidRPr="00886E52" w:rsidRDefault="00886E52" w:rsidP="00886E52">
      <w:pPr>
        <w:tabs>
          <w:tab w:val="left" w:pos="4320"/>
          <w:tab w:val="left" w:pos="9000"/>
        </w:tabs>
        <w:rPr>
          <w:rFonts w:ascii="Times New Roman" w:hAnsi="Times New Roman"/>
          <w:b/>
          <w:bCs/>
          <w:sz w:val="24"/>
          <w:szCs w:val="24"/>
        </w:rPr>
      </w:pPr>
      <w:r w:rsidRPr="00886E52">
        <w:rPr>
          <w:rFonts w:ascii="Times New Roman" w:hAnsi="Times New Roman"/>
          <w:b/>
          <w:bCs/>
          <w:sz w:val="24"/>
          <w:szCs w:val="24"/>
          <w:u w:val="single"/>
        </w:rPr>
        <w:t>RESPONSIBILITIES</w:t>
      </w:r>
      <w:r w:rsidRPr="00886E52">
        <w:rPr>
          <w:rFonts w:ascii="Times New Roman" w:hAnsi="Times New Roman"/>
          <w:b/>
          <w:bCs/>
          <w:sz w:val="24"/>
          <w:szCs w:val="24"/>
        </w:rPr>
        <w:t>:</w:t>
      </w:r>
    </w:p>
    <w:p w14:paraId="77316C39" w14:textId="77777777" w:rsidR="00886E52" w:rsidRPr="00886E52" w:rsidRDefault="00886E52" w:rsidP="00886E52">
      <w:pPr>
        <w:tabs>
          <w:tab w:val="left" w:pos="4320"/>
          <w:tab w:val="left" w:pos="9000"/>
        </w:tabs>
        <w:rPr>
          <w:rFonts w:ascii="Times New Roman" w:hAnsi="Times New Roman"/>
          <w:b/>
          <w:sz w:val="24"/>
          <w:szCs w:val="24"/>
        </w:rPr>
      </w:pPr>
    </w:p>
    <w:p w14:paraId="3E11C32A"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 xml:space="preserve">The person in this position will primarily handle arbitration hearings, representing local affiliates and the interests of individual </w:t>
      </w:r>
      <w:proofErr w:type="spellStart"/>
      <w:r w:rsidRPr="00886E52">
        <w:rPr>
          <w:rFonts w:ascii="Times New Roman" w:hAnsi="Times New Roman"/>
          <w:sz w:val="24"/>
          <w:szCs w:val="24"/>
        </w:rPr>
        <w:t>grievants</w:t>
      </w:r>
      <w:proofErr w:type="spellEnd"/>
      <w:r w:rsidRPr="00886E52">
        <w:rPr>
          <w:rFonts w:ascii="Times New Roman" w:hAnsi="Times New Roman"/>
          <w:sz w:val="24"/>
          <w:szCs w:val="24"/>
        </w:rPr>
        <w:t xml:space="preserve"> as assigned by the General Counsel.  The Staff Attorney-Arbitration Specialist may be assigned other types of work at the discretion of the General Counsel.</w:t>
      </w:r>
    </w:p>
    <w:p w14:paraId="4A78F0DB" w14:textId="77777777" w:rsidR="00886E52" w:rsidRPr="00886E52" w:rsidRDefault="00886E52" w:rsidP="00886E52">
      <w:pPr>
        <w:tabs>
          <w:tab w:val="left" w:pos="4320"/>
          <w:tab w:val="left" w:pos="9000"/>
        </w:tabs>
        <w:rPr>
          <w:rFonts w:ascii="Times New Roman" w:hAnsi="Times New Roman"/>
          <w:b/>
          <w:sz w:val="24"/>
          <w:szCs w:val="24"/>
        </w:rPr>
      </w:pPr>
    </w:p>
    <w:p w14:paraId="1CBCF028"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The specific functions of the Staff Attorney-Arbitration Specialist will be to:</w:t>
      </w:r>
    </w:p>
    <w:p w14:paraId="1755E5E8" w14:textId="77777777" w:rsidR="00886E52" w:rsidRPr="00886E52" w:rsidRDefault="00886E52" w:rsidP="00886E52">
      <w:pPr>
        <w:tabs>
          <w:tab w:val="left" w:pos="4320"/>
          <w:tab w:val="left" w:pos="9000"/>
        </w:tabs>
        <w:rPr>
          <w:rFonts w:ascii="Times New Roman" w:hAnsi="Times New Roman"/>
          <w:b/>
          <w:sz w:val="24"/>
          <w:szCs w:val="24"/>
        </w:rPr>
      </w:pPr>
    </w:p>
    <w:p w14:paraId="5561B1A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Represent local affiliates and members in:</w:t>
      </w:r>
    </w:p>
    <w:p w14:paraId="1FE9FCC3"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E92802E"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Arbitration hearings;</w:t>
      </w:r>
    </w:p>
    <w:p w14:paraId="054C5F86"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Administrative agencies, state and federal;</w:t>
      </w:r>
    </w:p>
    <w:p w14:paraId="5DF94011"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Courts, state and federal</w:t>
      </w:r>
    </w:p>
    <w:p w14:paraId="3E1BA25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52FDF76" w14:textId="77777777" w:rsidR="00886E52" w:rsidRPr="00886E52" w:rsidRDefault="00886E52" w:rsidP="00886E52">
      <w:pPr>
        <w:tabs>
          <w:tab w:val="left" w:pos="0"/>
          <w:tab w:val="left" w:pos="4320"/>
          <w:tab w:val="left" w:pos="9000"/>
        </w:tabs>
        <w:rPr>
          <w:rFonts w:ascii="Times New Roman" w:hAnsi="Times New Roman"/>
          <w:b/>
          <w:sz w:val="24"/>
          <w:szCs w:val="24"/>
        </w:rPr>
      </w:pPr>
      <w:r w:rsidRPr="00886E52">
        <w:rPr>
          <w:rFonts w:ascii="Times New Roman" w:hAnsi="Times New Roman"/>
          <w:sz w:val="24"/>
          <w:szCs w:val="24"/>
        </w:rPr>
        <w:t>Serve as a legal consultant to members, local associations, and the MEA staff for rendering oral and written opinions;</w:t>
      </w:r>
    </w:p>
    <w:p w14:paraId="589C955F"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0A1B3FB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Engage in legal research for purposes of advocacy and publication of pamphlets and papers;</w:t>
      </w:r>
    </w:p>
    <w:p w14:paraId="52693AE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A04C84B"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lastRenderedPageBreak/>
        <w:t>Draft briefs, motions, responsive documents, and other legal documents in representation of local affiliates and members;</w:t>
      </w:r>
    </w:p>
    <w:p w14:paraId="1484B712"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26FEE8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Review collective bargaining agreements;</w:t>
      </w:r>
    </w:p>
    <w:p w14:paraId="5B1D90D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184AA156"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Assist the General Counsel in the administration of the representation policies of the MEA;</w:t>
      </w:r>
    </w:p>
    <w:p w14:paraId="021C252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0CCB0D63"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Track and submit timely and accurate reimbursements through the DLMS System; </w:t>
      </w:r>
    </w:p>
    <w:p w14:paraId="64CD40D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313E746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Conduct training programs in the law for staff, local leaders and membership;</w:t>
      </w:r>
    </w:p>
    <w:p w14:paraId="4405912D"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49F56C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This position does not have authority to assign cases to the outside law firms of the MEA;</w:t>
      </w:r>
    </w:p>
    <w:p w14:paraId="0FD195B9" w14:textId="77777777" w:rsidR="00886E52" w:rsidRPr="00886E52" w:rsidRDefault="00886E52" w:rsidP="00886E52">
      <w:pPr>
        <w:tabs>
          <w:tab w:val="left" w:pos="4320"/>
          <w:tab w:val="left" w:pos="9000"/>
        </w:tabs>
        <w:ind w:left="360" w:hanging="360"/>
        <w:rPr>
          <w:rFonts w:ascii="Times New Roman" w:hAnsi="Times New Roman"/>
          <w:b/>
          <w:color w:val="FF0000"/>
          <w:sz w:val="24"/>
          <w:szCs w:val="24"/>
        </w:rPr>
      </w:pPr>
    </w:p>
    <w:p w14:paraId="43DA9845" w14:textId="77777777" w:rsidR="00886E52" w:rsidRPr="00886E52" w:rsidRDefault="00886E52" w:rsidP="00886E52">
      <w:pPr>
        <w:tabs>
          <w:tab w:val="left" w:pos="4320"/>
          <w:tab w:val="left" w:pos="9000"/>
        </w:tabs>
        <w:rPr>
          <w:rFonts w:ascii="Times New Roman" w:hAnsi="Times New Roman"/>
          <w:sz w:val="24"/>
          <w:szCs w:val="24"/>
          <w:u w:val="single"/>
        </w:rPr>
      </w:pPr>
    </w:p>
    <w:p w14:paraId="34107738" w14:textId="77777777" w:rsidR="00886E52" w:rsidRPr="00886E52" w:rsidRDefault="00886E52" w:rsidP="00886E52">
      <w:pPr>
        <w:tabs>
          <w:tab w:val="left" w:pos="4320"/>
          <w:tab w:val="left" w:pos="9000"/>
        </w:tabs>
        <w:ind w:left="504" w:hanging="504"/>
        <w:rPr>
          <w:rFonts w:ascii="Times New Roman" w:hAnsi="Times New Roman"/>
          <w:b/>
          <w:bCs/>
          <w:sz w:val="24"/>
          <w:szCs w:val="24"/>
        </w:rPr>
      </w:pPr>
      <w:r w:rsidRPr="00886E52">
        <w:rPr>
          <w:rFonts w:ascii="Times New Roman" w:hAnsi="Times New Roman"/>
          <w:b/>
          <w:bCs/>
          <w:sz w:val="24"/>
          <w:szCs w:val="24"/>
          <w:u w:val="single"/>
        </w:rPr>
        <w:t>MINIMUM REQUIREMENTS</w:t>
      </w:r>
      <w:r w:rsidRPr="00886E52">
        <w:rPr>
          <w:rFonts w:ascii="Times New Roman" w:hAnsi="Times New Roman"/>
          <w:b/>
          <w:bCs/>
          <w:sz w:val="24"/>
          <w:szCs w:val="24"/>
        </w:rPr>
        <w:t>:</w:t>
      </w:r>
    </w:p>
    <w:p w14:paraId="76BA6540" w14:textId="77777777" w:rsidR="00886E52" w:rsidRPr="00886E52" w:rsidRDefault="00886E52" w:rsidP="00886E52">
      <w:pPr>
        <w:tabs>
          <w:tab w:val="left" w:pos="4320"/>
          <w:tab w:val="left" w:pos="9000"/>
        </w:tabs>
        <w:ind w:left="504" w:hanging="504"/>
        <w:rPr>
          <w:rFonts w:ascii="Times New Roman" w:hAnsi="Times New Roman"/>
          <w:b/>
          <w:bCs/>
          <w:sz w:val="24"/>
          <w:szCs w:val="24"/>
        </w:rPr>
      </w:pPr>
    </w:p>
    <w:p w14:paraId="67CB342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 LLB or JD degree from a nationally accredited institution;</w:t>
      </w:r>
    </w:p>
    <w:p w14:paraId="799C5EDB"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EEFFB94"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Admittance to practice law before the courts in the State of Michigan;</w:t>
      </w:r>
    </w:p>
    <w:p w14:paraId="57935F11"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BB2E438"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The position requires expertise in the following areas of the practice of law:</w:t>
      </w:r>
    </w:p>
    <w:p w14:paraId="28EA1867"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7B6FC0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Labor and employment law arbitration;</w:t>
      </w:r>
    </w:p>
    <w:p w14:paraId="01EEDBB5"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Labor law in the public and private sector at the state and federal levels;</w:t>
      </w:r>
    </w:p>
    <w:p w14:paraId="436F4F59"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The general practice of labor law especially the enforcement of arbitration awards;</w:t>
      </w:r>
    </w:p>
    <w:p w14:paraId="2043E3B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 xml:space="preserve">Appearing in state and federal courts in general legal matters. </w:t>
      </w:r>
    </w:p>
    <w:p w14:paraId="678316C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B0CC3F4"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Litigation experience before state and federal courts and administrative agencies as well as experience in appellate practice will receive favorable consideration;</w:t>
      </w:r>
    </w:p>
    <w:p w14:paraId="23C63951" w14:textId="77777777" w:rsidR="00886E52" w:rsidRPr="00886E52" w:rsidRDefault="00886E52" w:rsidP="00886E52">
      <w:pPr>
        <w:tabs>
          <w:tab w:val="left" w:pos="270"/>
          <w:tab w:val="left" w:pos="4320"/>
          <w:tab w:val="left" w:pos="9000"/>
        </w:tabs>
        <w:rPr>
          <w:rFonts w:ascii="Times New Roman" w:hAnsi="Times New Roman"/>
          <w:b/>
          <w:sz w:val="24"/>
          <w:szCs w:val="24"/>
        </w:rPr>
      </w:pPr>
    </w:p>
    <w:p w14:paraId="06918B7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Excellent research, writing, and advocacy skills;</w:t>
      </w:r>
    </w:p>
    <w:p w14:paraId="189FAF5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11774E7"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Willingness to divorce herself/himself of any other practices of law or other employment other than with the MEA;</w:t>
      </w:r>
    </w:p>
    <w:p w14:paraId="3BEC8DE5"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D0C6B12"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Good health, good driving record and a valid driver’s license;</w:t>
      </w:r>
    </w:p>
    <w:p w14:paraId="60748C6B"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723BE0E0"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Experience as a </w:t>
      </w:r>
      <w:proofErr w:type="spellStart"/>
      <w:r w:rsidRPr="00886E52">
        <w:rPr>
          <w:rFonts w:ascii="Times New Roman" w:hAnsi="Times New Roman"/>
          <w:sz w:val="24"/>
          <w:szCs w:val="24"/>
        </w:rPr>
        <w:t>UniServ</w:t>
      </w:r>
      <w:proofErr w:type="spellEnd"/>
      <w:r w:rsidRPr="00886E52">
        <w:rPr>
          <w:rFonts w:ascii="Times New Roman" w:hAnsi="Times New Roman"/>
          <w:sz w:val="24"/>
          <w:szCs w:val="24"/>
        </w:rPr>
        <w:t xml:space="preserve"> Director is preferred.  </w:t>
      </w:r>
    </w:p>
    <w:p w14:paraId="7E2EE2D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7C0461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64CC16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9A58F3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F73632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March, 2015</w:t>
      </w:r>
    </w:p>
    <w:p w14:paraId="48AECD64"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4EE4C1FA" w14:textId="77777777" w:rsidR="0043242F" w:rsidRPr="00886E52" w:rsidRDefault="0043242F" w:rsidP="00C2763D">
      <w:pPr>
        <w:jc w:val="right"/>
        <w:rPr>
          <w:rFonts w:ascii="Times New Roman" w:hAnsi="Times New Roman"/>
          <w:b/>
          <w:sz w:val="24"/>
          <w:szCs w:val="24"/>
        </w:rPr>
      </w:pPr>
    </w:p>
    <w:sectPr w:rsidR="0043242F" w:rsidRPr="00886E52" w:rsidSect="00330B97">
      <w:pgSz w:w="12240" w:h="15840" w:code="1"/>
      <w:pgMar w:top="1350"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490629CA"/>
    <w:multiLevelType w:val="hybridMultilevel"/>
    <w:tmpl w:val="823A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04E3CFA"/>
    <w:multiLevelType w:val="hybridMultilevel"/>
    <w:tmpl w:val="ED74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9"/>
  </w:num>
  <w:num w:numId="7" w16cid:durableId="1291135375">
    <w:abstractNumId w:val="7"/>
  </w:num>
  <w:num w:numId="8" w16cid:durableId="1182210333">
    <w:abstractNumId w:val="5"/>
  </w:num>
  <w:num w:numId="9" w16cid:durableId="159081083">
    <w:abstractNumId w:val="6"/>
  </w:num>
  <w:num w:numId="10" w16cid:durableId="1836727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83896"/>
    <w:rsid w:val="00084EEA"/>
    <w:rsid w:val="0009117D"/>
    <w:rsid w:val="00096C28"/>
    <w:rsid w:val="000A1283"/>
    <w:rsid w:val="000B1ADA"/>
    <w:rsid w:val="000C3AE3"/>
    <w:rsid w:val="000C71D8"/>
    <w:rsid w:val="000D5225"/>
    <w:rsid w:val="000D77C3"/>
    <w:rsid w:val="000E38EA"/>
    <w:rsid w:val="000E70DC"/>
    <w:rsid w:val="000F535B"/>
    <w:rsid w:val="000F5523"/>
    <w:rsid w:val="001021E9"/>
    <w:rsid w:val="00126921"/>
    <w:rsid w:val="00130FEB"/>
    <w:rsid w:val="001344C5"/>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A57EA"/>
    <w:rsid w:val="001B7158"/>
    <w:rsid w:val="001C46BF"/>
    <w:rsid w:val="001C5C93"/>
    <w:rsid w:val="001D1398"/>
    <w:rsid w:val="001E3964"/>
    <w:rsid w:val="001E6B8D"/>
    <w:rsid w:val="0021209C"/>
    <w:rsid w:val="0021345E"/>
    <w:rsid w:val="002256A4"/>
    <w:rsid w:val="0024007E"/>
    <w:rsid w:val="0024392A"/>
    <w:rsid w:val="00245A5C"/>
    <w:rsid w:val="002513DA"/>
    <w:rsid w:val="00251D3C"/>
    <w:rsid w:val="00253D72"/>
    <w:rsid w:val="00253F90"/>
    <w:rsid w:val="002550A4"/>
    <w:rsid w:val="00293FE6"/>
    <w:rsid w:val="002B161D"/>
    <w:rsid w:val="002B3B0B"/>
    <w:rsid w:val="002B5A70"/>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41458"/>
    <w:rsid w:val="003473F8"/>
    <w:rsid w:val="00357504"/>
    <w:rsid w:val="00360058"/>
    <w:rsid w:val="00380A9E"/>
    <w:rsid w:val="0038318B"/>
    <w:rsid w:val="003A5629"/>
    <w:rsid w:val="003A7EC4"/>
    <w:rsid w:val="003B727A"/>
    <w:rsid w:val="003C1543"/>
    <w:rsid w:val="003D3A44"/>
    <w:rsid w:val="003E71E5"/>
    <w:rsid w:val="003E7D46"/>
    <w:rsid w:val="00406DA6"/>
    <w:rsid w:val="00431298"/>
    <w:rsid w:val="0043242F"/>
    <w:rsid w:val="00437E41"/>
    <w:rsid w:val="00437EF1"/>
    <w:rsid w:val="00466913"/>
    <w:rsid w:val="00473F27"/>
    <w:rsid w:val="0048334D"/>
    <w:rsid w:val="004843B9"/>
    <w:rsid w:val="00494FB6"/>
    <w:rsid w:val="004A0F75"/>
    <w:rsid w:val="004A5B29"/>
    <w:rsid w:val="004A5BC1"/>
    <w:rsid w:val="004D4074"/>
    <w:rsid w:val="004D6E58"/>
    <w:rsid w:val="00533065"/>
    <w:rsid w:val="0054207B"/>
    <w:rsid w:val="005515B3"/>
    <w:rsid w:val="005522D8"/>
    <w:rsid w:val="0057654F"/>
    <w:rsid w:val="00577F21"/>
    <w:rsid w:val="0058031C"/>
    <w:rsid w:val="00581E85"/>
    <w:rsid w:val="005965C7"/>
    <w:rsid w:val="005A1799"/>
    <w:rsid w:val="005B4396"/>
    <w:rsid w:val="005B50C4"/>
    <w:rsid w:val="005D20DE"/>
    <w:rsid w:val="005D7925"/>
    <w:rsid w:val="006022CF"/>
    <w:rsid w:val="00606419"/>
    <w:rsid w:val="006129B8"/>
    <w:rsid w:val="00617853"/>
    <w:rsid w:val="00622438"/>
    <w:rsid w:val="006504EE"/>
    <w:rsid w:val="00660A4C"/>
    <w:rsid w:val="006702F6"/>
    <w:rsid w:val="006713D6"/>
    <w:rsid w:val="00680816"/>
    <w:rsid w:val="006A2EF3"/>
    <w:rsid w:val="006A5381"/>
    <w:rsid w:val="006D2E8F"/>
    <w:rsid w:val="006E0D90"/>
    <w:rsid w:val="006F0862"/>
    <w:rsid w:val="007000DB"/>
    <w:rsid w:val="00716FE2"/>
    <w:rsid w:val="007270E3"/>
    <w:rsid w:val="00745EAD"/>
    <w:rsid w:val="00746DF6"/>
    <w:rsid w:val="007530A6"/>
    <w:rsid w:val="007811E1"/>
    <w:rsid w:val="007949DE"/>
    <w:rsid w:val="00797814"/>
    <w:rsid w:val="00797D34"/>
    <w:rsid w:val="007A2A59"/>
    <w:rsid w:val="007D14F7"/>
    <w:rsid w:val="007D25F5"/>
    <w:rsid w:val="007F018E"/>
    <w:rsid w:val="00803801"/>
    <w:rsid w:val="00821FB5"/>
    <w:rsid w:val="008367A0"/>
    <w:rsid w:val="00845C1D"/>
    <w:rsid w:val="00867427"/>
    <w:rsid w:val="008733A7"/>
    <w:rsid w:val="0087601B"/>
    <w:rsid w:val="00886E52"/>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0B82"/>
    <w:rsid w:val="009C2558"/>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4676"/>
    <w:rsid w:val="00B50DB6"/>
    <w:rsid w:val="00B60DAF"/>
    <w:rsid w:val="00B61660"/>
    <w:rsid w:val="00B63E4D"/>
    <w:rsid w:val="00B77BCF"/>
    <w:rsid w:val="00B86719"/>
    <w:rsid w:val="00BA1753"/>
    <w:rsid w:val="00BB5751"/>
    <w:rsid w:val="00BD6382"/>
    <w:rsid w:val="00BE13EF"/>
    <w:rsid w:val="00BE58D7"/>
    <w:rsid w:val="00BF09FE"/>
    <w:rsid w:val="00C16E06"/>
    <w:rsid w:val="00C2763D"/>
    <w:rsid w:val="00C45EDB"/>
    <w:rsid w:val="00C55401"/>
    <w:rsid w:val="00C72DAE"/>
    <w:rsid w:val="00C75E18"/>
    <w:rsid w:val="00C81D0A"/>
    <w:rsid w:val="00C954EB"/>
    <w:rsid w:val="00CA08D7"/>
    <w:rsid w:val="00CB4E1F"/>
    <w:rsid w:val="00CC5D79"/>
    <w:rsid w:val="00CE0CDC"/>
    <w:rsid w:val="00CF04A2"/>
    <w:rsid w:val="00D02970"/>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494D"/>
    <w:rsid w:val="00E00F8C"/>
    <w:rsid w:val="00E11726"/>
    <w:rsid w:val="00E15FE6"/>
    <w:rsid w:val="00E17F3F"/>
    <w:rsid w:val="00E25EAB"/>
    <w:rsid w:val="00E44E53"/>
    <w:rsid w:val="00E722DD"/>
    <w:rsid w:val="00E74E1A"/>
    <w:rsid w:val="00E8656D"/>
    <w:rsid w:val="00E903BC"/>
    <w:rsid w:val="00E90C0E"/>
    <w:rsid w:val="00E92D2E"/>
    <w:rsid w:val="00EB05B4"/>
    <w:rsid w:val="00EB7A5D"/>
    <w:rsid w:val="00EC393C"/>
    <w:rsid w:val="00EC4BD8"/>
    <w:rsid w:val="00EE4057"/>
    <w:rsid w:val="00EF387A"/>
    <w:rsid w:val="00EF659B"/>
    <w:rsid w:val="00F022EA"/>
    <w:rsid w:val="00F27AEB"/>
    <w:rsid w:val="00F32A73"/>
    <w:rsid w:val="00F34EAB"/>
    <w:rsid w:val="00F473F2"/>
    <w:rsid w:val="00F877A9"/>
    <w:rsid w:val="00F9226E"/>
    <w:rsid w:val="00F927D8"/>
    <w:rsid w:val="00F92889"/>
    <w:rsid w:val="00F95266"/>
    <w:rsid w:val="00FA2117"/>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Nanci</cp:lastModifiedBy>
  <cp:revision>5</cp:revision>
  <cp:lastPrinted>2024-08-09T19:48:00Z</cp:lastPrinted>
  <dcterms:created xsi:type="dcterms:W3CDTF">2024-08-09T19:29:00Z</dcterms:created>
  <dcterms:modified xsi:type="dcterms:W3CDTF">2024-08-09T20:05:00Z</dcterms:modified>
</cp:coreProperties>
</file>